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11" w:rsidRDefault="009970DF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-162560</wp:posOffset>
            </wp:positionV>
            <wp:extent cx="598170" cy="581660"/>
            <wp:effectExtent l="19050" t="0" r="0" b="0"/>
            <wp:wrapTight wrapText="bothSides">
              <wp:wrapPolygon edited="0">
                <wp:start x="5503" y="0"/>
                <wp:lineTo x="1376" y="3537"/>
                <wp:lineTo x="-688" y="11319"/>
                <wp:lineTo x="4815" y="21223"/>
                <wp:lineTo x="5503" y="21223"/>
                <wp:lineTo x="15822" y="21223"/>
                <wp:lineTo x="16510" y="21223"/>
                <wp:lineTo x="21325" y="12026"/>
                <wp:lineTo x="21325" y="7074"/>
                <wp:lineTo x="19261" y="2830"/>
                <wp:lineTo x="15822" y="0"/>
                <wp:lineTo x="5503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F11" w:rsidRDefault="00C92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C92F11" w:rsidRDefault="00C92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C92F11" w:rsidRDefault="0099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>МИНИСТЕРСТВО ОБРАЗОВАНИЯ И НАУКИ РЕСПУБЛИКИ ДАГЕСТАН</w:t>
      </w:r>
    </w:p>
    <w:p w:rsidR="00C92F11" w:rsidRDefault="0099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>МКОУ «Бугленская СОШ имени Ш.И.Шихсаидова»</w:t>
      </w:r>
    </w:p>
    <w:p w:rsidR="00C92F11" w:rsidRDefault="0099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Россия, республика  Дагестан, 368210, Буйнакский район село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ru-RU"/>
        </w:rPr>
        <w:t>Буглен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  ул. Спортивная 6.</w:t>
      </w:r>
    </w:p>
    <w:p w:rsidR="00C92F11" w:rsidRDefault="009970DF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4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lang w:val="en-US" w:eastAsia="ru-RU"/>
        </w:rPr>
        <w:t>e-mail</w:t>
      </w:r>
      <w:proofErr w:type="gramEnd"/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</w:t>
      </w:r>
      <w:hyperlink r:id="rId8" w:history="1">
        <w:r>
          <w:rPr>
            <w:rStyle w:val="a7"/>
            <w:rFonts w:ascii="Times New Roman" w:eastAsia="Calibri" w:hAnsi="Times New Roman" w:cs="Times New Roman"/>
            <w:b/>
            <w:sz w:val="24"/>
            <w:lang w:val="en-US" w:eastAsia="ru-RU"/>
          </w:rPr>
          <w:t>shkola.buglen@mail.ru</w:t>
        </w:r>
      </w:hyperlink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ОГРН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ИНН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>: 0507009667</w:t>
      </w:r>
    </w:p>
    <w:p w:rsidR="00C92F11" w:rsidRPr="001F7AAD" w:rsidRDefault="00C92F11">
      <w:pPr>
        <w:rPr>
          <w:lang w:val="en-US"/>
        </w:rPr>
      </w:pPr>
    </w:p>
    <w:tbl>
      <w:tblPr>
        <w:tblW w:w="9859" w:type="dxa"/>
        <w:tblInd w:w="108" w:type="dxa"/>
        <w:tblLayout w:type="fixed"/>
        <w:tblLook w:val="04A0"/>
      </w:tblPr>
      <w:tblGrid>
        <w:gridCol w:w="4616"/>
        <w:gridCol w:w="5243"/>
      </w:tblGrid>
      <w:tr w:rsidR="00C92F11">
        <w:trPr>
          <w:trHeight w:val="973"/>
        </w:trPr>
        <w:tc>
          <w:tcPr>
            <w:tcW w:w="4616" w:type="dxa"/>
          </w:tcPr>
          <w:p w:rsidR="00C92F11" w:rsidRDefault="009970DF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ПРИНЯТО</w:t>
            </w:r>
          </w:p>
          <w:p w:rsidR="00C92F11" w:rsidRDefault="00997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на заседании Общего </w:t>
            </w:r>
            <w:proofErr w:type="spellStart"/>
            <w:r>
              <w:rPr>
                <w:color w:val="000000"/>
                <w:sz w:val="28"/>
                <w:szCs w:val="28"/>
              </w:rPr>
              <w:t>собрания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МКОУ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«Бугленская СОШ имени Ш.И.Шихсаидова»</w:t>
            </w:r>
          </w:p>
          <w:p w:rsidR="00C92F11" w:rsidRDefault="00C92F11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  <w:p w:rsidR="00C92F11" w:rsidRDefault="00C92F11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  <w:p w:rsidR="00C92F11" w:rsidRDefault="009970DF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№__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__</w:t>
            </w:r>
          </w:p>
          <w:p w:rsidR="00C92F11" w:rsidRDefault="009970DF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</w:t>
            </w:r>
            <w:r>
              <w:rPr>
                <w:color w:val="000000"/>
                <w:sz w:val="28"/>
                <w:szCs w:val="28"/>
              </w:rPr>
              <w:t>30.08.2018 г</w:t>
            </w:r>
            <w:r>
              <w:rPr>
                <w:color w:val="000000"/>
                <w:sz w:val="28"/>
                <w:szCs w:val="28"/>
              </w:rPr>
              <w:t xml:space="preserve">                                         </w:t>
            </w:r>
          </w:p>
        </w:tc>
        <w:tc>
          <w:tcPr>
            <w:tcW w:w="5243" w:type="dxa"/>
          </w:tcPr>
          <w:p w:rsidR="00C92F11" w:rsidRDefault="009970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C92F11" w:rsidRDefault="00997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МКОУ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«Бугленская СОШ имени Ш.И.Шихсаидова»</w:t>
            </w:r>
          </w:p>
          <w:p w:rsidR="00C92F11" w:rsidRDefault="00C92F1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2F11" w:rsidRDefault="009970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>
              <w:rPr>
                <w:color w:val="000000"/>
                <w:sz w:val="28"/>
                <w:szCs w:val="28"/>
                <w:lang w:val="tt-RU"/>
              </w:rPr>
              <w:t>А.</w:t>
            </w:r>
            <w:proofErr w:type="spellStart"/>
            <w:r>
              <w:rPr>
                <w:color w:val="000000"/>
                <w:sz w:val="28"/>
                <w:szCs w:val="28"/>
              </w:rPr>
              <w:t>А.Джаватова</w:t>
            </w:r>
            <w:proofErr w:type="spellEnd"/>
          </w:p>
          <w:p w:rsidR="00C92F11" w:rsidRDefault="009970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Введено в действие приказом № </w:t>
            </w:r>
          </w:p>
          <w:p w:rsidR="00C92F11" w:rsidRDefault="009970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» 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  <w:lang w:val="tt-RU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C92F11" w:rsidRDefault="009970DF" w:rsidP="001F7AAD">
      <w:pPr>
        <w:pStyle w:val="a6"/>
        <w:shd w:val="clear" w:color="auto" w:fill="FFFFFF"/>
        <w:spacing w:before="375" w:after="450" w:line="15" w:lineRule="atLeast"/>
        <w:ind w:firstLineChars="2200" w:firstLine="5301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Порядок</w:t>
      </w:r>
    </w:p>
    <w:p w:rsidR="00C92F11" w:rsidRDefault="0099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информирования работниками работодателя о ставшей известной работнику информации о случаях совершения</w:t>
      </w: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 xml:space="preserve"> коррупционных нарушений другими работниками, </w:t>
      </w:r>
      <w:proofErr w:type="spellStart"/>
      <w:r w:rsidR="00C92F11" w:rsidRPr="001F7AAD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fldChar w:fldCharType="begin"/>
      </w:r>
      <w:r w:rsidRPr="001F7AAD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instrText xml:space="preserve"> HYPERLINK "https://pandia.ru/text/category/kontragenti/" \o "Контрагенты" </w:instrText>
      </w:r>
      <w:r w:rsidR="00C92F11" w:rsidRPr="001F7AAD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fldChar w:fldCharType="separate"/>
      </w:r>
      <w:r w:rsidRPr="001F7AAD">
        <w:rPr>
          <w:rStyle w:val="a7"/>
          <w:rFonts w:ascii="Helvetica" w:eastAsia="Helvetica" w:hAnsi="Helvetica" w:cs="Helvetica"/>
          <w:b/>
          <w:color w:val="auto"/>
          <w:sz w:val="24"/>
          <w:szCs w:val="24"/>
          <w:u w:val="none"/>
          <w:shd w:val="clear" w:color="auto" w:fill="FFFFFF"/>
        </w:rPr>
        <w:t>контрагентами</w:t>
      </w:r>
      <w:proofErr w:type="gramStart"/>
      <w:r w:rsidR="00C92F11" w:rsidRPr="001F7AAD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b/>
          <w:i/>
          <w:color w:val="000000"/>
          <w:sz w:val="24"/>
          <w:szCs w:val="24"/>
          <w:shd w:val="clear" w:color="auto" w:fill="FFFFFF"/>
        </w:rPr>
        <w:t>,</w:t>
      </w:r>
      <w:proofErr w:type="gramEnd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иными</w:t>
      </w:r>
      <w:proofErr w:type="spellEnd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 xml:space="preserve"> лицами в муниципальном </w:t>
      </w: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 xml:space="preserve"> казенном</w:t>
      </w: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 xml:space="preserve"> общеобразовательном учреждении 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МКОУ «Бугленская СОШ имени Ш.И.Шихсаидова»</w:t>
      </w:r>
    </w:p>
    <w:p w:rsidR="00C92F11" w:rsidRDefault="00C92F11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</w:pPr>
      <w:hyperlink r:id="rId9" w:tooltip="Муниципальные образования" w:history="1">
        <w:r w:rsidR="009970DF" w:rsidRPr="001F7AAD">
          <w:rPr>
            <w:rStyle w:val="a7"/>
            <w:rFonts w:ascii="Helvetica" w:eastAsia="Helvetica" w:hAnsi="Helvetica" w:cs="Helvetica"/>
            <w:b/>
            <w:color w:val="auto"/>
            <w:sz w:val="24"/>
            <w:szCs w:val="24"/>
            <w:u w:val="none"/>
            <w:shd w:val="clear" w:color="auto" w:fill="FFFFFF"/>
          </w:rPr>
          <w:t>муниципального образования</w:t>
        </w:r>
      </w:hyperlink>
      <w:r w:rsidR="009970DF" w:rsidRPr="001F7AAD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t> </w:t>
      </w:r>
      <w:r w:rsidR="009970DF" w:rsidRPr="001F7AAD">
        <w:rPr>
          <w:rFonts w:ascii="Helvetica" w:eastAsia="Helvetica" w:hAnsi="Helvetica" w:cs="Helvetica"/>
          <w:b/>
          <w:sz w:val="24"/>
          <w:szCs w:val="24"/>
          <w:shd w:val="clear" w:color="auto" w:fill="FFFFFF"/>
        </w:rPr>
        <w:t>”Бу</w:t>
      </w:r>
      <w:r w:rsidR="009970DF"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йнакский район”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:rsidR="00C92F11" w:rsidRDefault="0099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1.1. Порядок информирования работниками работодателя о случаях совершения коррупционных нарушений другими работниками, контрагентами, иными лицами в муниципальном </w:t>
      </w:r>
      <w:proofErr w:type="gram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казенным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общеобразовательном учреждении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МКОУ «Бугленская СОШ имени Ш.И.Шихсаидова»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муниципаль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ного образования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“Буйнакский район”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 (далее – Порядок) разработан на основании Федерального закона от </w:t>
      </w:r>
      <w:hyperlink r:id="rId10" w:tooltip="25 декабря" w:history="1">
        <w:r w:rsidRPr="001F7AAD">
          <w:rPr>
            <w:rStyle w:val="a7"/>
            <w:rFonts w:ascii="Helvetica" w:eastAsia="Helvetica" w:hAnsi="Helvetica" w:cs="Helvetica"/>
            <w:color w:val="auto"/>
            <w:sz w:val="24"/>
            <w:szCs w:val="24"/>
            <w:u w:val="none"/>
            <w:shd w:val="clear" w:color="auto" w:fill="FFFFFF"/>
          </w:rPr>
          <w:t>25 декабря</w:t>
        </w:r>
      </w:hyperlink>
      <w:r w:rsidRPr="001F7AAD">
        <w:rPr>
          <w:rFonts w:ascii="Helvetica" w:eastAsia="Helvetica" w:hAnsi="Helvetica" w:cs="Helvetica"/>
          <w:sz w:val="24"/>
          <w:szCs w:val="24"/>
          <w:shd w:val="clear" w:color="auto" w:fill="FFFFFF"/>
        </w:rPr>
        <w:t> 20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08 г. «О противодействии коррупции», Указа Президента Российской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Федерации от </w:t>
      </w:r>
      <w:hyperlink r:id="rId11" w:tooltip="2 апреля" w:history="1">
        <w:r w:rsidRPr="001F7AAD">
          <w:rPr>
            <w:rStyle w:val="a7"/>
            <w:rFonts w:ascii="Helvetica" w:eastAsia="Helvetica" w:hAnsi="Helvetica" w:cs="Helvetica"/>
            <w:color w:val="auto"/>
            <w:sz w:val="24"/>
            <w:szCs w:val="24"/>
            <w:u w:val="none"/>
            <w:shd w:val="clear" w:color="auto" w:fill="FFFFFF"/>
          </w:rPr>
          <w:t>2 апреля</w:t>
        </w:r>
      </w:hyperlink>
      <w:r w:rsidRPr="001F7AAD">
        <w:rPr>
          <w:rFonts w:ascii="Helvetica" w:eastAsia="Helvetica" w:hAnsi="Helvetica" w:cs="Helvetica"/>
          <w:sz w:val="24"/>
          <w:szCs w:val="24"/>
          <w:shd w:val="clear" w:color="auto" w:fill="FFFFFF"/>
        </w:rPr>
        <w:t> 2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013 г. № 000 «О мерах по реализации отдельных положений Федерального закона «О противодействии коррупции», </w:t>
      </w:r>
      <w:proofErr w:type="spell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антикоррупционной</w:t>
      </w:r>
      <w:proofErr w:type="spell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политики.</w:t>
      </w:r>
    </w:p>
    <w:p w:rsidR="00C92F11" w:rsidRDefault="0099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lastRenderedPageBreak/>
        <w:t>1.2. Настоящий порядок о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 в муниципальном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казенном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общеобразовательном </w:t>
      </w:r>
      <w:proofErr w:type="spell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учреждении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МКОУ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 «Буг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ленская СОШ имени Ш.И.Шихсаидова»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муниципального образования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“Буйнакский район</w:t>
      </w:r>
      <w:proofErr w:type="gram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”</w:t>
      </w:r>
      <w:bookmarkStart w:id="0" w:name="_GoBack"/>
      <w:bookmarkEnd w:id="0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(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далее – учреждение).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1.3. Термины и определения: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Коррупция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 – </w:t>
      </w:r>
      <w:hyperlink r:id="rId12" w:tooltip="Злоупотребление властью, служебным положением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злоупотребление служебным положением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, дача </w:t>
      </w:r>
      <w:hyperlink r:id="rId13" w:tooltip="Взяточничество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взятки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, получение взятки, злоупотребление полномочиями, коммерческий подкуп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 </w:t>
      </w:r>
      <w:hyperlink r:id="rId14" w:tooltip="Имущественное право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имущественных прав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 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. Коррупцией также является совершение переч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исленных деяний от имени или в интересах юридического лица (пункт 1 статьи 1 Федерального закона от 01.01.01 г. «О противодействии коррупции»).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Противодействие коррупции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 – деятельность федеральных органов государственной власти, органов государственной вла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сти субъектов Российской Федерации, </w:t>
      </w:r>
      <w:hyperlink r:id="rId15" w:tooltip="Органы местного самоуправления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органов местного самоуправления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, институтов гражданского общества, организаций и физических лиц в преде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лах их полномочий (пункт 2 статьи 1 Федерального закона от 01.01.01 г. «О противодействии коррупции»): 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б) по выявлению, предупрежд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ению, пресечению, раскрытию и расследованию коррупционных правонарушений (борьба с коррупцией); в) по минимизации и (или) ликвидации последствий коррупционных правонарушений.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Предупреждение коррупции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 – деятельность организации, направленная на введение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элементов корпоративной культуры, </w:t>
      </w:r>
      <w:hyperlink r:id="rId16" w:tooltip="Организационная структура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организационной структуры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, правил и процедур, регламентированных внутренними нормативными документами, обеспечиваю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щих недопущение коррупционных правонарушений. Организация – юридическое лицо независимо от формы собственности, организационно-правовой формы и отраслевой принадлежности. </w:t>
      </w: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Контрагент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 – любое российское или иностранное юридическое или физическое лицо, с кото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рым организация вступает в договорные отношения, за исключением трудовых отношений.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Взятка 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 </w:t>
      </w:r>
      <w:hyperlink r:id="rId17" w:tooltip="Ценные бумаги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ценных бумаг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силу должностного положения может способствовать таким действиям (бездействию), а равно за общее покровительство или по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пустительство по службе.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lastRenderedPageBreak/>
        <w:t>Коммерческий подкуп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proofErr w:type="spellStart"/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Комплаенс</w:t>
      </w:r>
      <w:proofErr w:type="spell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 – обеспечение соответствия деятельности организации тре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ечение комплексной защиты организации.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2. ПОРЯДОК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2.1. Работник учреждения,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незамедлительно уведомлять об этом работодателя.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2.3. Уведомление работодателя о факте обращения к иным работникам, в связи с исполнением долж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ностных обязанностей, контрагентам, иным лицам в целях склонения их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</w:r>
      <w:proofErr w:type="spell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антикоррупционной</w:t>
      </w:r>
      <w:proofErr w:type="spell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политики (кабинет директора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) или путем направления такого уведомления по почте.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2.4. Перечень сведений, подлежащих отражению в уведомлении (Приложение</w:t>
      </w:r>
      <w:proofErr w:type="gram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, должен содержать: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- фамилию, имя, отчество, должность, место жительства и телефон лица, направившего уведомление;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- описание обст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оятельств, при которых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(дата, место, время, другие условия);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- все и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звестные сведения о физическом (юридическом) лице, склоняющем к коррупционному правонарушению;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lastRenderedPageBreak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правонарушения.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2.5. Все уведомления подлежат обязательной регистрации в специальном журнале (Приложение</w:t>
      </w:r>
      <w:proofErr w:type="gram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, который должен быть прошит и пронумерован, а также заверен оттиском печати. </w:t>
      </w:r>
      <w:proofErr w:type="gram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Обязанность по ведению журнала в МБОУ возлагается на ответственного за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реализацию </w:t>
      </w:r>
      <w:proofErr w:type="spell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антикоррупционной</w:t>
      </w:r>
      <w:proofErr w:type="spell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политики.</w:t>
      </w:r>
      <w:proofErr w:type="gramEnd"/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ремени его принятия.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Талон-уведомление состоит из двух частей: корешка талона-уведомления и талона-уведомления (приложение № 2). После заполнения корешок талона-уведомления остается у уполномоченного лица, а талон-уведомление вручается работнику, направивш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2.6. Конфиден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циальность полученных сведений обеспечивается работодателем и ответственным лицом за реализацию </w:t>
      </w:r>
      <w:proofErr w:type="spell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антикоррупционной</w:t>
      </w:r>
      <w:proofErr w:type="spell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политики.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2.7. К рассмотрению анонимные уведомления не принимаются.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2.8. Организация проверки </w:t>
      </w:r>
      <w:proofErr w:type="gramStart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сведений, содержащихся в поступившем уведомлении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осуществляется</w:t>
      </w:r>
      <w:proofErr w:type="gramEnd"/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 Комиссией по противодействию коррупции.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2.9. Учреждение принимает на себя публичное обязательство сообщать в соответствующие </w:t>
      </w:r>
      <w:hyperlink r:id="rId18" w:tooltip="Правоохранительные органы" w:history="1"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правоохрани</w:t>
        </w:r>
        <w:r>
          <w:rPr>
            <w:rStyle w:val="a7"/>
            <w:rFonts w:ascii="Helvetica" w:eastAsia="Helvetica" w:hAnsi="Helvetica" w:cs="Helvetica"/>
            <w:color w:val="743399"/>
            <w:sz w:val="24"/>
            <w:szCs w:val="24"/>
            <w:u w:val="none"/>
            <w:shd w:val="clear" w:color="auto" w:fill="FFFFFF"/>
          </w:rPr>
          <w:t>тельные органы</w:t>
        </w:r>
      </w:hyperlink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 о случаях совершения коррупционных правонарушений, о которых в учреждении (работникам учреждения) стало известно.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b/>
          <w:color w:val="000000"/>
          <w:sz w:val="24"/>
          <w:szCs w:val="24"/>
          <w:shd w:val="clear" w:color="auto" w:fill="FFFFFF"/>
        </w:rPr>
        <w:t>3. ЗАКЛЮЧИТЕЛЬНЫЕ ПОЛОЖЕНИЯ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 xml:space="preserve">3.1. Настоящий Порядок может быть пересмотрен как по инициативе работников, так и по инициативе </w:t>
      </w: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руководства учреждения.</w:t>
      </w:r>
    </w:p>
    <w:p w:rsidR="00C92F11" w:rsidRDefault="009970DF">
      <w:pPr>
        <w:pStyle w:val="a6"/>
        <w:shd w:val="clear" w:color="auto" w:fill="FFFFFF"/>
        <w:spacing w:before="375" w:after="450" w:line="15" w:lineRule="atLeast"/>
        <w:ind w:firstLine="0"/>
        <w:textAlignment w:val="baseline"/>
        <w:rPr>
          <w:rFonts w:ascii="Helvetica" w:eastAsia="Helvetica" w:hAnsi="Helvetica" w:cs="Helvetica"/>
          <w:color w:val="000000"/>
          <w:sz w:val="24"/>
          <w:szCs w:val="24"/>
        </w:rPr>
      </w:pPr>
      <w:r>
        <w:rPr>
          <w:rFonts w:ascii="Helvetica" w:eastAsia="Helvetica" w:hAnsi="Helvetica" w:cs="Helvetica"/>
          <w:color w:val="000000"/>
          <w:sz w:val="24"/>
          <w:szCs w:val="24"/>
          <w:shd w:val="clear" w:color="auto" w:fill="FFFFFF"/>
        </w:rPr>
        <w:t>3.2. В настоящий Порядок могут быть внесены изменения и дополнения, в соответствии с соблюдением процедуры принятия локальных актов.</w:t>
      </w:r>
    </w:p>
    <w:p w:rsidR="00C92F11" w:rsidRPr="001F7AAD" w:rsidRDefault="00C92F11">
      <w:pPr>
        <w:ind w:left="-567"/>
        <w:jc w:val="center"/>
        <w:rPr>
          <w:b/>
          <w:sz w:val="28"/>
        </w:rPr>
      </w:pPr>
    </w:p>
    <w:sectPr w:rsidR="00C92F11" w:rsidRPr="001F7AAD" w:rsidSect="00C92F11">
      <w:footerReference w:type="default" r:id="rId19"/>
      <w:pgSz w:w="11906" w:h="16838"/>
      <w:pgMar w:top="1134" w:right="305" w:bottom="1134" w:left="8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DF" w:rsidRDefault="009970DF" w:rsidP="00C92F11">
      <w:pPr>
        <w:spacing w:after="0" w:line="240" w:lineRule="auto"/>
      </w:pPr>
      <w:r>
        <w:separator/>
      </w:r>
    </w:p>
  </w:endnote>
  <w:endnote w:type="continuationSeparator" w:id="0">
    <w:p w:rsidR="009970DF" w:rsidRDefault="009970DF" w:rsidP="00C9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11" w:rsidRDefault="00C92F1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970D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7AAD">
      <w:rPr>
        <w:rStyle w:val="a8"/>
        <w:noProof/>
      </w:rPr>
      <w:t>1</w:t>
    </w:r>
    <w:r>
      <w:rPr>
        <w:rStyle w:val="a8"/>
      </w:rPr>
      <w:fldChar w:fldCharType="end"/>
    </w:r>
  </w:p>
  <w:p w:rsidR="00C92F11" w:rsidRDefault="00C92F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DF" w:rsidRDefault="009970DF" w:rsidP="00C92F11">
      <w:pPr>
        <w:spacing w:after="0" w:line="240" w:lineRule="auto"/>
      </w:pPr>
      <w:r>
        <w:separator/>
      </w:r>
    </w:p>
  </w:footnote>
  <w:footnote w:type="continuationSeparator" w:id="0">
    <w:p w:rsidR="009970DF" w:rsidRDefault="009970DF" w:rsidP="00C92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B0332D"/>
    <w:rsid w:val="001B0786"/>
    <w:rsid w:val="001F7AAD"/>
    <w:rsid w:val="003A7252"/>
    <w:rsid w:val="0086253C"/>
    <w:rsid w:val="008E0F23"/>
    <w:rsid w:val="009970DF"/>
    <w:rsid w:val="00B0332D"/>
    <w:rsid w:val="00C92F11"/>
    <w:rsid w:val="0A1807E4"/>
    <w:rsid w:val="3379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92F11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uiPriority w:val="99"/>
    <w:unhideWhenUsed/>
    <w:qFormat/>
    <w:rsid w:val="00C92F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qFormat/>
    <w:rsid w:val="00C92F11"/>
    <w:pPr>
      <w:ind w:firstLine="331"/>
      <w:jc w:val="both"/>
    </w:pPr>
  </w:style>
  <w:style w:type="character" w:styleId="a7">
    <w:name w:val="Hyperlink"/>
    <w:basedOn w:val="a0"/>
    <w:uiPriority w:val="99"/>
    <w:unhideWhenUsed/>
    <w:qFormat/>
    <w:rsid w:val="00C92F11"/>
    <w:rPr>
      <w:color w:val="0000FF" w:themeColor="hyperlink"/>
      <w:u w:val="single"/>
    </w:rPr>
  </w:style>
  <w:style w:type="character" w:styleId="a8">
    <w:name w:val="page number"/>
    <w:basedOn w:val="a0"/>
    <w:qFormat/>
    <w:rsid w:val="00C92F11"/>
  </w:style>
  <w:style w:type="character" w:styleId="a9">
    <w:name w:val="Strong"/>
    <w:uiPriority w:val="22"/>
    <w:qFormat/>
    <w:rsid w:val="00C92F11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C92F11"/>
  </w:style>
  <w:style w:type="character" w:customStyle="1" w:styleId="apple-converted-space">
    <w:name w:val="apple-converted-space"/>
    <w:basedOn w:val="a0"/>
    <w:qFormat/>
    <w:rsid w:val="00C92F11"/>
  </w:style>
  <w:style w:type="character" w:customStyle="1" w:styleId="s2">
    <w:name w:val="s2"/>
    <w:qFormat/>
    <w:rsid w:val="00C92F11"/>
  </w:style>
  <w:style w:type="character" w:customStyle="1" w:styleId="apple-style-span">
    <w:name w:val="apple-style-span"/>
    <w:basedOn w:val="a0"/>
    <w:qFormat/>
    <w:rsid w:val="00C92F11"/>
  </w:style>
  <w:style w:type="paragraph" w:customStyle="1" w:styleId="ConsPlusNonformat">
    <w:name w:val="ConsPlusNonformat"/>
    <w:uiPriority w:val="99"/>
    <w:qFormat/>
    <w:rsid w:val="00C92F1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C92F11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3">
    <w:name w:val="......... 3"/>
    <w:basedOn w:val="a"/>
    <w:next w:val="a"/>
    <w:qFormat/>
    <w:rsid w:val="00C92F11"/>
    <w:pPr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13" Type="http://schemas.openxmlformats.org/officeDocument/2006/relationships/hyperlink" Target="https://pandia.ru/text/category/vzyatochnichestvo/" TargetMode="External"/><Relationship Id="rId18" Type="http://schemas.openxmlformats.org/officeDocument/2006/relationships/hyperlink" Target="https://pandia.ru/text/category/pravoohranitelmznie_organ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andia.ru/text/category/zloupotreblenie_vlastmzyu__sluzhebnim_polozheniem/" TargetMode="External"/><Relationship Id="rId17" Type="http://schemas.openxmlformats.org/officeDocument/2006/relationships/hyperlink" Target="https://pandia.ru/text/category/tcennie_bumag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organizatcionnaya_struktur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2_aprel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organi_mestnogo_samoupravleniya/" TargetMode="External"/><Relationship Id="rId10" Type="http://schemas.openxmlformats.org/officeDocument/2006/relationships/hyperlink" Target="https://pandia.ru/text/category/25_dekabry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munitcipalmznie_obrazovaniya/" TargetMode="External"/><Relationship Id="rId14" Type="http://schemas.openxmlformats.org/officeDocument/2006/relationships/hyperlink" Target="https://pandia.ru/text/category/imushestvennoe_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1492</Words>
  <Characters>8505</Characters>
  <Application>Microsoft Office Word</Application>
  <DocSecurity>0</DocSecurity>
  <Lines>70</Lines>
  <Paragraphs>19</Paragraphs>
  <ScaleCrop>false</ScaleCrop>
  <Company>CtrlSoft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2019-02-22T07:12:00Z</cp:lastPrinted>
  <dcterms:created xsi:type="dcterms:W3CDTF">2018-09-17T08:03:00Z</dcterms:created>
  <dcterms:modified xsi:type="dcterms:W3CDTF">2019-03-06T08:41:00Z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